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01 — Cover</w:t>
      </w:r>
    </w:p>
    <w:p>
      <w:pPr>
        <w:pStyle w:val="Heading2"/>
      </w:pPr>
      <w:r>
        <w:t>From README to revenue.</w:t>
      </w:r>
    </w:p>
    <w:p>
      <w:r>
        <w:t>A venture studio that researches hard problems, kills weak theses, validates demand, and packages what survives for transfer.</w:t>
      </w:r>
    </w:p>
    <w:p>
      <w:r>
        <w:t>Version 1.0 · Final production candidate · No owner approval implied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Brand guidelines / review candidate</w:t>
      </w:r>
    </w:p>
    <w:p>
      <w:r>
        <w:br w:type="page"/>
      </w:r>
    </w:p>
    <w:p>
      <w:pPr>
        <w:pStyle w:val="Heading1"/>
      </w:pPr>
      <w:r>
        <w:t>02 — Thesis</w:t>
      </w:r>
    </w:p>
    <w:p>
      <w:pPr>
        <w:pStyle w:val="Heading2"/>
      </w:pPr>
      <w:r>
        <w:t>Validated ventures, packaged for operators and buyers.</w:t>
      </w:r>
    </w:p>
    <w:p>
      <w:r>
        <w:t>We sell transferable operating opportunities—not ideas, demos, or AI theater.</w:t>
      </w:r>
    </w:p>
    <w:p>
      <w:pPr>
        <w:pStyle w:val="Heading3"/>
      </w:pPr>
      <w:r>
        <w:t>Find expensive friction.</w:t>
      </w:r>
    </w:p>
    <w:p>
      <w:r>
        <w:t>Start with repeated pain, budget ownership, and measurable operational burden.</w:t>
      </w:r>
    </w:p>
    <w:p>
      <w:pPr>
        <w:pStyle w:val="Heading3"/>
      </w:pPr>
      <w:r>
        <w:t>Demand earns build.</w:t>
      </w:r>
    </w:p>
    <w:p>
      <w:r>
        <w:t>Named thresholds and kill criteria govern every move toward product.</w:t>
      </w:r>
    </w:p>
    <w:p>
      <w:pPr>
        <w:pStyle w:val="Heading3"/>
      </w:pPr>
      <w:r>
        <w:t>Package the residue.</w:t>
      </w:r>
    </w:p>
    <w:p>
      <w:r>
        <w:t>IP, evidence, operating plans, liabilities, and handoff requirements travel together.</w:t>
      </w:r>
    </w:p>
    <w:p>
      <w:r>
        <w:t>External rule: the commercial outcome must remain clear after every file, cursor, or syntax metaphor is removed.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Commercial promise</w:t>
      </w:r>
    </w:p>
    <w:p>
      <w:pPr>
        <w:pStyle w:val="ListBullet"/>
      </w:pPr>
      <w:r>
        <w:t>Mine</w:t>
      </w:r>
    </w:p>
    <w:p>
      <w:pPr>
        <w:pStyle w:val="ListBullet"/>
      </w:pPr>
      <w:r>
        <w:t>Prove</w:t>
      </w:r>
    </w:p>
    <w:p>
      <w:r>
        <w:br w:type="page"/>
      </w:r>
    </w:p>
    <w:p>
      <w:pPr>
        <w:pStyle w:val="Heading1"/>
      </w:pPr>
      <w:r>
        <w:t>03 — Operating model + evidence gates</w:t>
      </w:r>
    </w:p>
    <w:p>
      <w:pPr>
        <w:pStyle w:val="Heading2"/>
      </w:pPr>
      <w:r>
        <w:t>Every stage has an exit.</w:t>
      </w:r>
    </w:p>
    <w:p>
      <w:pPr>
        <w:pStyle w:val="Heading4"/>
      </w:pPr>
      <w:r>
        <w:t>Problem density</w:t>
      </w:r>
    </w:p>
    <w:p>
      <w:r>
        <w:t>Repeated pain, named buyer, existing spend.</w:t>
      </w:r>
    </w:p>
    <w:p>
      <w:pPr>
        <w:pStyle w:val="Heading4"/>
      </w:pPr>
      <w:r>
        <w:t>Adversarial test</w:t>
      </w:r>
    </w:p>
    <w:p>
      <w:r>
        <w:t>Disconfirm urgency, access, economics, and defensibility.</w:t>
      </w:r>
    </w:p>
    <w:p>
      <w:pPr>
        <w:pStyle w:val="Heading4"/>
      </w:pPr>
      <w:r>
        <w:t>Smallest proof</w:t>
      </w:r>
    </w:p>
    <w:p>
      <w:r>
        <w:t>Only enough product to answer the riskiest question.</w:t>
      </w:r>
    </w:p>
    <w:p>
      <w:pPr>
        <w:pStyle w:val="Heading4"/>
      </w:pPr>
      <w:r>
        <w:t>Paid behavior</w:t>
      </w:r>
    </w:p>
    <w:p>
      <w:r>
        <w:t>Evidence beats interest, compliments, and waitlists.</w:t>
      </w:r>
    </w:p>
    <w:p>
      <w:pPr>
        <w:pStyle w:val="Heading4"/>
      </w:pPr>
      <w:r>
        <w:t>Transferability</w:t>
      </w:r>
    </w:p>
    <w:p>
      <w:r>
        <w:t>Operator brief, IP, economics, risks, and handoff.</w:t>
      </w:r>
    </w:p>
    <w:p>
      <w:pPr>
        <w:pStyle w:val="Heading3"/>
      </w:pPr>
      <w:r>
        <w:t>Required receipt</w:t>
      </w:r>
    </w:p>
    <w:p>
      <w:pPr>
        <w:pStyle w:val="ListBullet"/>
      </w:pPr>
      <w:r>
        <w:t>HYPOTHESIS: Specific and falsifiable</w:t>
      </w:r>
    </w:p>
    <w:p>
      <w:pPr>
        <w:pStyle w:val="ListBullet"/>
      </w:pPr>
      <w:r>
        <w:t>THRESHOLD: Set before result</w:t>
      </w:r>
    </w:p>
    <w:p>
      <w:pPr>
        <w:pStyle w:val="ListBullet"/>
      </w:pPr>
      <w:r>
        <w:t>OWNER: Named person</w:t>
      </w:r>
    </w:p>
    <w:p>
      <w:pPr>
        <w:pStyle w:val="ListBullet"/>
      </w:pPr>
      <w:r>
        <w:t>EVIDENCE: Traceable artifact</w:t>
      </w:r>
    </w:p>
    <w:p>
      <w:pPr>
        <w:pStyle w:val="ListBullet"/>
      </w:pPr>
      <w:r>
        <w:t>DECISION: Advance · redesign · kill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01 / Mine</w:t>
      </w:r>
    </w:p>
    <w:p>
      <w:pPr>
        <w:pStyle w:val="ListBullet"/>
      </w:pPr>
      <w:r>
        <w:t>02 / Kill</w:t>
      </w:r>
    </w:p>
    <w:p>
      <w:pPr>
        <w:pStyle w:val="ListBullet"/>
      </w:pPr>
      <w:r>
        <w:t>03 / Build</w:t>
      </w:r>
    </w:p>
    <w:p>
      <w:pPr>
        <w:pStyle w:val="ListBullet"/>
      </w:pPr>
      <w:r>
        <w:t>04 / Validate</w:t>
      </w:r>
    </w:p>
    <w:p>
      <w:pPr>
        <w:pStyle w:val="ListBullet"/>
      </w:pPr>
      <w:r>
        <w:t>05 / Package</w:t>
      </w:r>
    </w:p>
    <w:p>
      <w:r>
        <w:br w:type="page"/>
      </w:r>
    </w:p>
    <w:p>
      <w:pPr>
        <w:pStyle w:val="Heading1"/>
      </w:pPr>
      <w:r>
        <w:t>04 — Audiences + proof matrix</w:t>
      </w:r>
    </w:p>
    <w:p>
      <w:pPr>
        <w:pStyle w:val="Heading2"/>
      </w:pPr>
      <w:r>
        <w:t>Different buyers require different receipts.</w:t>
      </w:r>
    </w:p>
    <w:p>
      <w:pPr>
        <w:pStyle w:val="Heading3"/>
      </w:pPr>
      <w:r>
        <w:t>Can I run this?</w:t>
      </w:r>
    </w:p>
    <w:p>
      <w:r>
        <w:t>Workflow map · implementation burden · unit economics · 90-day plan.</w:t>
      </w:r>
    </w:p>
    <w:p>
      <w:r>
        <w:t>STATUS: 12–18% studio presence</w:t>
      </w:r>
    </w:p>
    <w:p>
      <w:pPr>
        <w:pStyle w:val="Heading3"/>
      </w:pPr>
      <w:r>
        <w:t>Can I own this?</w:t>
      </w:r>
    </w:p>
    <w:p>
      <w:r>
        <w:t>IP inventory · liabilities · diligence index · transfer dependencies.</w:t>
      </w:r>
    </w:p>
    <w:p>
      <w:r>
        <w:t>STATUS: 10–25% studio presence</w:t>
      </w:r>
    </w:p>
    <w:p>
      <w:pPr>
        <w:pStyle w:val="Heading3"/>
      </w:pPr>
      <w:r>
        <w:t>Is the work real?</w:t>
      </w:r>
    </w:p>
    <w:p>
      <w:r>
        <w:t>Stage criteria · role map · decision rights · preserved failed learning.</w:t>
      </w:r>
    </w:p>
    <w:p>
      <w:pPr>
        <w:pStyle w:val="Heading3"/>
      </w:pPr>
      <w:r>
        <w:t>What happens next?</w:t>
      </w:r>
    </w:p>
    <w:p>
      <w:r>
        <w:t>Gate owner · threshold · due date · evidence location · decision record.</w:t>
      </w:r>
    </w:p>
    <w:p>
      <w:r>
        <w:t>Metaphor budget: no more than 20% of external language. File syntax may explain the method; it may not replace the value proposition.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Priority 1 / Operators</w:t>
      </w:r>
    </w:p>
    <w:p>
      <w:pPr>
        <w:pStyle w:val="ListBullet"/>
      </w:pPr>
      <w:r>
        <w:t>Priority 2 / Acquirers</w:t>
      </w:r>
    </w:p>
    <w:p>
      <w:pPr>
        <w:pStyle w:val="ListBullet"/>
      </w:pPr>
      <w:r>
        <w:t>Priority 3 / Founders + collaborators</w:t>
      </w:r>
    </w:p>
    <w:p>
      <w:pPr>
        <w:pStyle w:val="ListBullet"/>
      </w:pPr>
      <w:r>
        <w:t>Priority 4 / Internal</w:t>
      </w:r>
    </w:p>
    <w:p>
      <w:r>
        <w:br w:type="page"/>
      </w:r>
    </w:p>
    <w:p>
      <w:pPr>
        <w:pStyle w:val="Heading1"/>
      </w:pPr>
      <w:r>
        <w:t>05 — Portfolio + co-brand architecture</w:t>
      </w:r>
    </w:p>
    <w:p>
      <w:pPr>
        <w:pStyle w:val="Heading2"/>
      </w:pPr>
      <w:r>
        <w:t>The venture stays dominant—and can leave cleanly.</w:t>
      </w:r>
    </w:p>
    <w:p>
      <w:r>
        <w:t>Endorsement width: 12–18% of venture wordmark.</w:t>
      </w:r>
    </w:p>
    <w:p>
      <w:pPr>
        <w:pStyle w:val="Heading3"/>
      </w:pPr>
      <w:r>
        <w:t>Removal without rework.</w:t>
      </w:r>
    </w:p>
    <w:p>
      <w:r>
        <w:t>The venture’s core identity, color, and customer UI never depend on studio artwork.</w:t>
      </w:r>
    </w:p>
    <w:p>
      <w:r>
        <w:t>STATUS: TESTING OR LATER</w:t>
      </w:r>
    </w:p>
    <w:p>
      <w:r>
        <w:t>Named owner required. Never publicly endorse a DRAFT concept.</w:t>
      </w:r>
    </w:p>
    <w:p>
      <w:pPr>
        <w:pStyle w:val="Heading3"/>
      </w:pPr>
      <w:r>
        <w:t>Monochrome always.</w:t>
      </w:r>
    </w:p>
    <w:p>
      <w:r>
        <w:t>If a venture uses red or orange, END remains Ink/Paper. Studio Oxide never wins.</w:t>
      </w:r>
    </w:p>
    <w:p>
      <w:r>
        <w:t>Approved copy: Built by .md Studios or A .md Studios venture . Ban “Powered by,” dual-primary lockups, and `.md × Venture`.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Endorser system</w:t>
      </w:r>
    </w:p>
    <w:p>
      <w:pPr>
        <w:pStyle w:val="ListBullet"/>
      </w:pPr>
      <w:r>
        <w:t>Approved / Horizontal</w:t>
      </w:r>
    </w:p>
    <w:p>
      <w:pPr>
        <w:pStyle w:val="ListBullet"/>
      </w:pPr>
      <w:r>
        <w:t>Spinout rule</w:t>
      </w:r>
    </w:p>
    <w:p>
      <w:pPr>
        <w:pStyle w:val="ListBullet"/>
      </w:pPr>
      <w:r>
        <w:t>Public threshold</w:t>
      </w:r>
    </w:p>
    <w:p>
      <w:pPr>
        <w:pStyle w:val="ListBullet"/>
      </w:pPr>
      <w:r>
        <w:t>Accent conflict</w:t>
      </w:r>
    </w:p>
    <w:p>
      <w:r>
        <w:br w:type="page"/>
      </w:r>
    </w:p>
    <w:p>
      <w:pPr>
        <w:pStyle w:val="Heading1"/>
      </w:pPr>
      <w:r>
        <w:t>06 — Identity family</w:t>
      </w:r>
    </w:p>
    <w:p>
      <w:pPr>
        <w:pStyle w:val="Heading2"/>
      </w:pPr>
      <w:r>
        <w:t>One recognizable system. Distinct jobs.</w:t>
      </w:r>
    </w:p>
    <w:p>
      <w:r>
        <w:t>Path-only Cursor mark for studio identification.</w:t>
      </w:r>
    </w:p>
    <w:p>
      <w:r>
        <w:t>Outlined Plex wordmark master; path-only production file.</w:t>
      </w:r>
    </w:p>
    <w:p>
      <w:r>
        <w:t>Cursor stays subordinate to the name.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Symbol, wordmark, lockup</w:t>
      </w:r>
    </w:p>
    <w:p>
      <w:pPr>
        <w:pStyle w:val="ListBullet"/>
      </w:pPr>
      <w:r>
        <w:t>SYM / Primary</w:t>
      </w:r>
    </w:p>
    <w:p>
      <w:pPr>
        <w:pStyle w:val="ListBullet"/>
      </w:pPr>
      <w:r>
        <w:t>WM / Proof</w:t>
      </w:r>
    </w:p>
    <w:p>
      <w:pPr>
        <w:pStyle w:val="ListBullet"/>
      </w:pPr>
      <w:r>
        <w:t>md_ Studios</w:t>
      </w:r>
    </w:p>
    <w:p>
      <w:pPr>
        <w:pStyle w:val="ListBullet"/>
      </w:pPr>
      <w:r>
        <w:t>LCK / Proof</w:t>
      </w:r>
    </w:p>
    <w:p>
      <w:pPr>
        <w:pStyle w:val="ListBullet"/>
      </w:pPr>
      <w:r>
        <w:t>Reverse</w:t>
      </w:r>
    </w:p>
    <w:p>
      <w:r>
        <w:br w:type="page"/>
      </w:r>
    </w:p>
    <w:p>
      <w:pPr>
        <w:pStyle w:val="Heading1"/>
      </w:pPr>
      <w:r>
        <w:t>07 — Mark anatomy</w:t>
      </w:r>
    </w:p>
    <w:p>
      <w:pPr>
        <w:pStyle w:val="Heading2"/>
      </w:pPr>
      <w:r>
        <w:t>The cursor is a state—not decoration.</w:t>
      </w:r>
    </w:p>
    <w:p>
      <w:pPr>
        <w:pStyle w:val="Heading3"/>
      </w:pPr>
      <w:r>
        <w:t>r = 6</w:t>
      </w:r>
    </w:p>
    <w:p>
      <w:r>
        <w:t>Core Oxide in primary applications; Ink in mono END contexts.</w:t>
      </w:r>
    </w:p>
    <w:p>
      <w:pPr>
        <w:pStyle w:val="Heading3"/>
      </w:pPr>
      <w:r>
        <w:t>5 units</w:t>
      </w:r>
    </w:p>
    <w:p>
      <w:r>
        <w:t>Canonical underscore thickness. Sixty percent of principal stem weight.</w:t>
      </w:r>
    </w:p>
    <w:p>
      <w:pPr>
        <w:pStyle w:val="Heading3"/>
      </w:pPr>
      <w:r>
        <w:t>Paths only</w:t>
      </w:r>
    </w:p>
    <w:p>
      <w:r>
        <w:t>No live-text dependency inside production SYM masters.</w:t>
      </w:r>
    </w:p>
    <w:p>
      <w:r>
        <w:t>Six-unit cursor geometry remains comparison-only and must never replace the owner-approved five-unit master.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Custom geometry</w:t>
      </w:r>
    </w:p>
    <w:p>
      <w:pPr>
        <w:pStyle w:val="ListBullet"/>
      </w:pPr>
      <w:r>
        <w:t>Construction</w:t>
      </w:r>
    </w:p>
    <w:p>
      <w:r>
        <w:br w:type="page"/>
      </w:r>
    </w:p>
    <w:p>
      <w:pPr>
        <w:pStyle w:val="Heading1"/>
      </w:pPr>
      <w:r>
        <w:t>08 — Clearspace + minimum size</w:t>
      </w:r>
    </w:p>
    <w:p>
      <w:pPr>
        <w:pStyle w:val="Heading2"/>
      </w:pPr>
      <w:r>
        <w:t>Recognizable at sixteen. Quiet at one-sixty.</w:t>
      </w:r>
    </w:p>
    <w:p>
      <w:r>
        <w:t>Minimum protected area equals one dot diameter on every side.</w:t>
      </w:r>
    </w:p>
    <w:p>
      <w:r>
        <w:t>16 · 24 · 32 · 64 · 160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Small-size proof</w:t>
      </w:r>
    </w:p>
    <w:p>
      <w:pPr>
        <w:pStyle w:val="ListBullet"/>
      </w:pPr>
      <w:r>
        <w:t>Reject:</w:t>
      </w:r>
    </w:p>
    <w:p>
      <w:pPr>
        <w:pStyle w:val="ListBullet"/>
      </w:pPr>
      <w:r>
        <w:t>cursor disappearance, collapsed counters, redrawn geometry, or decorative repetition.</w:t>
      </w:r>
    </w:p>
    <w:p>
      <w:r>
        <w:br w:type="page"/>
      </w:r>
    </w:p>
    <w:p>
      <w:pPr>
        <w:pStyle w:val="Heading1"/>
      </w:pPr>
      <w:r>
        <w:t>09 — Color</w:t>
      </w:r>
    </w:p>
    <w:p>
      <w:pPr>
        <w:pStyle w:val="Heading2"/>
      </w:pPr>
      <w:r>
        <w:t>Oxide attracts attention. Ink carries meaning.</w:t>
      </w:r>
    </w:p>
    <w:p>
      <w:pPr>
        <w:pStyle w:val="Heading3"/>
      </w:pPr>
      <w:r>
        <w:t>4.178:1</w:t>
      </w:r>
    </w:p>
    <w:p>
      <w:r>
        <w:t>Core Oxide fails AA for normal text on Paper.</w:t>
      </w:r>
    </w:p>
    <w:p>
      <w:pPr>
        <w:pStyle w:val="Heading3"/>
      </w:pPr>
      <w:r>
        <w:t>4.560:1</w:t>
      </w:r>
    </w:p>
    <w:p>
      <w:r>
        <w:t>Dark Oxide is the accessible text role.</w:t>
      </w:r>
    </w:p>
    <w:p>
      <w:r>
        <w:t>STATUS: PASSED</w:t>
      </w:r>
    </w:p>
    <w:p>
      <w:r>
        <w:t>#176B4D</w:t>
      </w:r>
    </w:p>
    <w:p>
      <w:r>
        <w:t>STATUS: TESTING</w:t>
      </w:r>
    </w:p>
    <w:p>
      <w:r>
        <w:t>#855A00</w:t>
      </w:r>
    </w:p>
    <w:p>
      <w:r>
        <w:t>STATUS: KILLED</w:t>
      </w:r>
    </w:p>
    <w:p>
      <w:r>
        <w:t>#A92D2D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Accessible roles</w:t>
      </w:r>
    </w:p>
    <w:p>
      <w:pPr>
        <w:pStyle w:val="ListBullet"/>
      </w:pPr>
      <w:r>
        <w:t>#171619</w:t>
      </w:r>
    </w:p>
    <w:p>
      <w:pPr>
        <w:pStyle w:val="ListBullet"/>
      </w:pPr>
      <w:r>
        <w:t>#F3EFE4</w:t>
      </w:r>
    </w:p>
    <w:p>
      <w:pPr>
        <w:pStyle w:val="ListBullet"/>
      </w:pPr>
      <w:r>
        <w:t>#C84630</w:t>
      </w:r>
    </w:p>
    <w:p>
      <w:pPr>
        <w:pStyle w:val="ListBullet"/>
      </w:pPr>
      <w:r>
        <w:t>Restricted</w:t>
      </w:r>
    </w:p>
    <w:p>
      <w:pPr>
        <w:pStyle w:val="ListBullet"/>
      </w:pPr>
      <w:r>
        <w:t>Normal text allowed</w:t>
      </w:r>
    </w:p>
    <w:p>
      <w:r>
        <w:br w:type="page"/>
      </w:r>
    </w:p>
    <w:p>
      <w:pPr>
        <w:pStyle w:val="Heading1"/>
      </w:pPr>
      <w:r>
        <w:t>10 — Typography</w:t>
      </w:r>
    </w:p>
    <w:p>
      <w:pPr>
        <w:pStyle w:val="Heading2"/>
      </w:pPr>
      <w:r>
        <w:t>Commercial clarity first. Evidence metadata second.</w:t>
      </w:r>
    </w:p>
    <w:p>
      <w:r>
        <w:t>Plex Sans carries headlines, buyer outcomes, body copy, actions, and interface language.</w:t>
      </w:r>
    </w:p>
    <w:p>
      <w:r>
        <w:t>Mono is reserved for evidence labels, states, hashes, thresholds, and timestamps.</w:t>
      </w:r>
    </w:p>
    <w:p>
      <w:r>
        <w:t>64/65 · 700</w:t>
      </w:r>
    </w:p>
    <w:p>
      <w:r>
        <w:t>36/40 · 700</w:t>
      </w:r>
    </w:p>
    <w:p>
      <w:r>
        <w:t>16/25 · 400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Two families</w:t>
      </w:r>
    </w:p>
    <w:p>
      <w:pPr>
        <w:pStyle w:val="ListBullet"/>
      </w:pPr>
      <w:r>
        <w:t>Validated ventures.</w:t>
      </w:r>
    </w:p>
    <w:p>
      <w:pPr>
        <w:pStyle w:val="ListBullet"/>
      </w:pPr>
      <w:r>
        <w:t>Transferable operations.</w:t>
      </w:r>
    </w:p>
    <w:p>
      <w:pPr>
        <w:pStyle w:val="ListBullet"/>
      </w:pPr>
      <w:r>
        <w:t>Plex Mono</w:t>
      </w:r>
    </w:p>
    <w:p>
      <w:pPr>
        <w:pStyle w:val="ListBullet"/>
      </w:pPr>
      <w:r>
        <w:t>VENTURE / EXAMPLE</w:t>
      </w:r>
    </w:p>
    <w:p>
      <w:pPr>
        <w:pStyle w:val="ListBullet"/>
      </w:pPr>
      <w:r>
        <w:t>STATUS DRAFT</w:t>
      </w:r>
    </w:p>
    <w:p>
      <w:pPr>
        <w:pStyle w:val="ListBullet"/>
      </w:pPr>
      <w:r>
        <w:t>OWNER UNASSIGNED</w:t>
      </w:r>
    </w:p>
    <w:p>
      <w:pPr>
        <w:pStyle w:val="ListBullet"/>
      </w:pPr>
      <w:r>
        <w:t>RESULT NOT EVALUATED</w:t>
      </w:r>
    </w:p>
    <w:p>
      <w:pPr>
        <w:pStyle w:val="ListBullet"/>
      </w:pPr>
      <w:r>
        <w:t>EVIDENCE NONE ATTACHED</w:t>
      </w:r>
    </w:p>
    <w:p>
      <w:pPr>
        <w:pStyle w:val="ListBullet"/>
      </w:pPr>
      <w:r>
        <w:t>Display</w:t>
      </w:r>
    </w:p>
    <w:p>
      <w:pPr>
        <w:pStyle w:val="ListBullet"/>
      </w:pPr>
      <w:r>
        <w:t>Heading</w:t>
      </w:r>
    </w:p>
    <w:p>
      <w:r>
        <w:br w:type="page"/>
      </w:r>
    </w:p>
    <w:p>
      <w:pPr>
        <w:pStyle w:val="Heading1"/>
      </w:pPr>
      <w:r>
        <w:t>11 — Layout + grid</w:t>
      </w:r>
    </w:p>
    <w:p>
      <w:pPr>
        <w:pStyle w:val="Heading2"/>
      </w:pPr>
      <w:r>
        <w:t>Editorial rhythm makes evidence navigable.</w:t>
      </w:r>
    </w:p>
    <w:p>
      <w:pPr>
        <w:pStyle w:val="Heading3"/>
      </w:pPr>
      <w:r>
        <w:t>12 columns</w:t>
      </w:r>
    </w:p>
    <w:p>
      <w:r>
        <w:t>US Letter · 0.62-inch horizontal safe area · baseline rhythm from 8-point units.</w:t>
      </w:r>
    </w:p>
    <w:p>
      <w:pPr>
        <w:pStyle w:val="Heading3"/>
      </w:pPr>
      <w:r>
        <w:t>12 → 4</w:t>
      </w:r>
    </w:p>
    <w:p>
      <w:r>
        <w:t>Desktop grid collapses to four mobile columns without changing outcome order.</w:t>
      </w:r>
    </w:p>
    <w:p>
      <w:pPr>
        <w:pStyle w:val="Heading3"/>
      </w:pPr>
      <w:r>
        <w:t>16:9</w:t>
      </w:r>
    </w:p>
    <w:p>
      <w:r>
        <w:t>One claim, one receipt, one decision per slide whenever possible.</w:t>
      </w:r>
    </w:p>
    <w:p>
      <w:pPr>
        <w:pStyle w:val="Heading3"/>
      </w:pPr>
      <w:r>
        <w:t>Validated ventures, packaged for transfer.</w:t>
      </w:r>
    </w:p>
    <w:p>
      <w:r>
        <w:t>Depth is structural, not glossy: square corners, explicit borders, no floating glass panels, no gratuitous shadows.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Structured restraint</w:t>
      </w:r>
    </w:p>
    <w:p>
      <w:pPr>
        <w:pStyle w:val="ListBullet"/>
      </w:pPr>
      <w:r>
        <w:t>Print</w:t>
      </w:r>
    </w:p>
    <w:p>
      <w:pPr>
        <w:pStyle w:val="ListBullet"/>
      </w:pPr>
      <w:r>
        <w:t>Web</w:t>
      </w:r>
    </w:p>
    <w:p>
      <w:pPr>
        <w:pStyle w:val="ListBullet"/>
      </w:pPr>
      <w:r>
        <w:t>Presentation</w:t>
      </w:r>
    </w:p>
    <w:p>
      <w:pPr>
        <w:pStyle w:val="ListBullet"/>
      </w:pPr>
      <w:r>
        <w:t>Outcome / 8 columns</w:t>
      </w:r>
    </w:p>
    <w:p>
      <w:pPr>
        <w:pStyle w:val="ListBullet"/>
      </w:pPr>
      <w:r>
        <w:t>Proof object</w:t>
      </w:r>
    </w:p>
    <w:p>
      <w:pPr>
        <w:pStyle w:val="ListBullet"/>
      </w:pPr>
      <w:r>
        <w:t>Risk / liability</w:t>
      </w:r>
    </w:p>
    <w:p>
      <w:pPr>
        <w:pStyle w:val="ListBullet"/>
      </w:pPr>
      <w:r>
        <w:t>Next decision</w:t>
      </w:r>
    </w:p>
    <w:p>
      <w:r>
        <w:br w:type="page"/>
      </w:r>
    </w:p>
    <w:p>
      <w:pPr>
        <w:pStyle w:val="Heading1"/>
      </w:pPr>
      <w:r>
        <w:t>12 — Status + evidence components</w:t>
      </w:r>
    </w:p>
    <w:p>
      <w:pPr>
        <w:pStyle w:val="Heading2"/>
      </w:pPr>
      <w:r>
        <w:t>A status without a receipt is decoration.</w:t>
      </w:r>
    </w:p>
    <w:p>
      <w:r>
        <w:t>STATUS: DRAFT</w:t>
      </w:r>
    </w:p>
    <w:p>
      <w:r>
        <w:t>Hypothesis exists; public endorsement forbidden.</w:t>
      </w:r>
    </w:p>
    <w:p>
      <w:r>
        <w:t>STATUS: TESTING</w:t>
      </w:r>
    </w:p>
    <w:p>
      <w:r>
        <w:t>Owner and exit criterion attached.</w:t>
      </w:r>
    </w:p>
    <w:p>
      <w:r>
        <w:t>STATUS: PASSED</w:t>
      </w:r>
    </w:p>
    <w:p>
      <w:r>
        <w:t>Threshold met with traceable evidence.</w:t>
      </w:r>
    </w:p>
    <w:p>
      <w:r>
        <w:t>STATUS: KILLED</w:t>
      </w:r>
    </w:p>
    <w:p>
      <w:r>
        <w:t>Legitimate result; reason preserved.</w:t>
      </w:r>
    </w:p>
    <w:p>
      <w:r>
        <w:t>STATUS: READY TO TRANSFER</w:t>
      </w:r>
    </w:p>
    <w:p>
      <w:r>
        <w:t>Diligence and handoff gates complete.</w:t>
      </w:r>
    </w:p>
    <w:p>
      <w:r>
        <w:t>Gate · hypothesis · threshold · result · owner · date · evidence · decision.</w:t>
      </w:r>
    </w:p>
    <w:p>
      <w:pPr>
        <w:pStyle w:val="ListBullet"/>
      </w:pPr>
      <w:r>
        <w:t>GATE: Pilot demand</w:t>
      </w:r>
    </w:p>
    <w:p>
      <w:pPr>
        <w:pStyle w:val="ListBullet"/>
      </w:pPr>
      <w:r>
        <w:t>THRESHOLD: 3 paid design partners</w:t>
      </w:r>
    </w:p>
    <w:p>
      <w:pPr>
        <w:pStyle w:val="ListBullet"/>
      </w:pPr>
      <w:r>
        <w:t>RESULT: Not evaluated</w:t>
      </w:r>
    </w:p>
    <w:p>
      <w:pPr>
        <w:pStyle w:val="ListBullet"/>
      </w:pPr>
      <w:r>
        <w:t>OWNER: Unassigned</w:t>
      </w:r>
    </w:p>
    <w:p>
      <w:pPr>
        <w:pStyle w:val="ListBullet"/>
      </w:pPr>
      <w:r>
        <w:t>EVIDENCE: None attached</w:t>
      </w:r>
    </w:p>
    <w:p>
      <w:pPr>
        <w:pStyle w:val="ListBullet"/>
      </w:pPr>
      <w:r>
        <w:t>DECISION: Remain DRAFT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Accountable states</w:t>
      </w:r>
    </w:p>
    <w:p>
      <w:pPr>
        <w:pStyle w:val="ListBullet"/>
      </w:pPr>
      <w:r>
        <w:t>Required fields</w:t>
      </w:r>
    </w:p>
    <w:p>
      <w:r>
        <w:br w:type="page"/>
      </w:r>
    </w:p>
    <w:p>
      <w:pPr>
        <w:pStyle w:val="Heading1"/>
      </w:pPr>
      <w:r>
        <w:t>13 — Evidence grammar</w:t>
      </w:r>
    </w:p>
    <w:p>
      <w:pPr>
        <w:pStyle w:val="Heading2"/>
      </w:pPr>
      <w:r>
        <w:t>Receipts turn claims into operating decisions.</w:t>
      </w:r>
    </w:p>
    <w:p>
      <w:pPr>
        <w:pStyle w:val="Heading3"/>
      </w:pPr>
      <w:r>
        <w:t>Named buyer pain</w:t>
      </w:r>
    </w:p>
    <w:p>
      <w:r>
        <w:t>Plain-language burden, frequency, current workaround, and budget owner.</w:t>
      </w:r>
    </w:p>
    <w:p>
      <w:pPr>
        <w:pStyle w:val="Heading3"/>
      </w:pPr>
      <w:r>
        <w:t>Set before testing</w:t>
      </w:r>
    </w:p>
    <w:p>
      <w:r>
        <w:t>A number can appear only with source, method, date, and decision context.</w:t>
      </w:r>
    </w:p>
    <w:p>
      <w:pPr>
        <w:pStyle w:val="Heading3"/>
      </w:pPr>
      <w:r>
        <w:t>Known gaps travel too</w:t>
      </w:r>
    </w:p>
    <w:p>
      <w:r>
        <w:t>Dependencies, unresolved risks, consent limits, and operating burden remain visible.</w:t>
      </w:r>
    </w:p>
    <w:p>
      <w:r>
        <w:t>STATUS: READY TO TRANSFER</w:t>
      </w:r>
    </w:p>
    <w:p>
      <w:r>
        <w:t>Allowed only after documented diligence completion.</w:t>
      </w:r>
    </w:p>
    <w:p>
      <w:r>
        <w:t>Method motifs are secondary: file names, hashes, and states may organize evidence; they may not simulate technical sophistication.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Dossier devices</w:t>
      </w:r>
    </w:p>
    <w:p>
      <w:pPr>
        <w:pStyle w:val="ListBullet"/>
      </w:pPr>
      <w:r>
        <w:t>Transfer badge</w:t>
      </w:r>
    </w:p>
    <w:p>
      <w:r>
        <w:br w:type="page"/>
      </w:r>
    </w:p>
    <w:p>
      <w:pPr>
        <w:pStyle w:val="Heading1"/>
      </w:pPr>
      <w:r>
        <w:t>14 — Syntax → structure</w:t>
      </w:r>
    </w:p>
    <w:p>
      <w:pPr>
        <w:pStyle w:val="Heading2"/>
      </w:pPr>
      <w:r>
        <w:t>Transformation must be mechanically legible.</w:t>
      </w:r>
    </w:p>
    <w:p>
      <w:r>
        <w:t>Vertices A/B/C retain identity through every frame. Flat vector, two weights, square endpoints, Ink/Paper plus Core Oxide only.</w:t>
      </w:r>
    </w:p>
    <w:p>
      <w:r>
        <w:t>Document icon + chart/building, glow, Cursor confetti, or any transformation whose geometry cannot be traced.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Illustration system</w:t>
      </w:r>
    </w:p>
    <w:p>
      <w:pPr>
        <w:pStyle w:val="ListBullet"/>
      </w:pPr>
      <w:r>
        <w:t>FINAL SYSTEM MASTER — SHARED-VERTEX SEQUENCE</w:t>
      </w:r>
    </w:p>
    <w:p>
      <w:pPr>
        <w:pStyle w:val="ListBullet"/>
      </w:pPr>
      <w:r>
        <w:t>System rule</w:t>
      </w:r>
    </w:p>
    <w:p>
      <w:r>
        <w:t>FINAL ILLUSTRATION MASTER: imagery/ill/syntax-structure/syntax-structure-sequence.svg</w:t>
      </w:r>
    </w:p>
    <w:p>
      <w:r>
        <w:br w:type="page"/>
      </w:r>
    </w:p>
    <w:p>
      <w:pPr>
        <w:pStyle w:val="Heading1"/>
      </w:pPr>
      <w:r>
        <w:t>15 — Photography</w:t>
      </w:r>
    </w:p>
    <w:p>
      <w:pPr>
        <w:pStyle w:val="Heading2"/>
      </w:pPr>
      <w:r>
        <w:t>Photograph accountable work—not startup theater.</w:t>
      </w:r>
    </w:p>
    <w:p>
      <w:r>
        <w:t>Annotated paper · physical prototypes · workshops · field environments · operators using products.</w:t>
      </w:r>
    </w:p>
    <w:p>
      <w:r>
        <w:t>Directional natural or practical light. Preserve material texture and purposeful negative space.</w:t>
      </w:r>
    </w:p>
    <w:p>
      <w:r>
        <w:t>4:5 portrait · 3:2 landscape · 16:9 editorial. Sensitive text obscured.</w:t>
      </w:r>
    </w:p>
    <w:p>
      <w:r>
        <w:t>creator · date · context · location_or_set · releases · rights_end · permitted_surfaces · pii_redaction · ai_generated</w:t>
      </w:r>
    </w:p>
    <w:p>
      <w:r>
        <w:t>Server racks, hooded coders, neon terminals, handshakes, staged whiteboards, generic offices, purple/cyan light.</w:t>
      </w:r>
    </w:p>
    <w:p>
      <w:r>
        <w:t>AI photoreal may be labeled only as illustration or mood. It may never serve as customer, dossier, kill-test, or operating evidence.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Evidence in the physical world</w:t>
      </w:r>
    </w:p>
    <w:p>
      <w:pPr>
        <w:pStyle w:val="ListBullet"/>
      </w:pPr>
      <w:r>
        <w:t>Subjects</w:t>
      </w:r>
    </w:p>
    <w:p>
      <w:pPr>
        <w:pStyle w:val="ListBullet"/>
      </w:pPr>
      <w:r>
        <w:t>Crops</w:t>
      </w:r>
    </w:p>
    <w:p>
      <w:pPr>
        <w:pStyle w:val="ListBullet"/>
      </w:pPr>
      <w:r>
        <w:t>Required provenance</w:t>
      </w:r>
    </w:p>
    <w:p>
      <w:r>
        <w:br w:type="page"/>
      </w:r>
    </w:p>
    <w:p>
      <w:pPr>
        <w:pStyle w:val="Heading1"/>
      </w:pPr>
      <w:r>
        <w:t>16 — Motion</w:t>
      </w:r>
    </w:p>
    <w:p>
      <w:pPr>
        <w:pStyle w:val="Heading2"/>
      </w:pPr>
      <w:r>
        <w:t>Motion clarifies state changes. It never performs intelligence.</w:t>
      </w:r>
    </w:p>
    <w:p>
      <w:pPr>
        <w:pStyle w:val="Heading3"/>
      </w:pPr>
      <w:r>
        <w:t>400–600 ms</w:t>
      </w:r>
    </w:p>
    <w:p>
      <w:r>
        <w:t>Blink only in active digital application chrome. Static in print and identity lockups.</w:t>
      </w:r>
    </w:p>
    <w:p>
      <w:pPr>
        <w:pStyle w:val="Heading3"/>
      </w:pPr>
      <w:r>
        <w:t>3–5 states</w:t>
      </w:r>
    </w:p>
    <w:p>
      <w:r>
        <w:t>Syntax-to-structure movement preserves shared geometry and readable causality.</w:t>
      </w:r>
    </w:p>
    <w:p>
      <w:pPr>
        <w:pStyle w:val="Heading3"/>
      </w:pPr>
      <w:r>
        <w:t>One transition</w:t>
      </w:r>
    </w:p>
    <w:p>
      <w:r>
        <w:t>Labels update with evidence; no celebratory confetti for PASSED.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Reduced motion:</w:t>
      </w:r>
    </w:p>
    <w:p>
      <w:pPr>
        <w:pStyle w:val="ListBullet"/>
      </w:pPr>
      <w:r>
        <w:t>replace all transformation with the final still and explicit state label.</w:t>
      </w:r>
    </w:p>
    <w:p>
      <w:pPr>
        <w:pStyle w:val="ListBullet"/>
      </w:pPr>
      <w:r>
        <w:t>parallax theater, autonomous floating objects, typing simulations, glow, elastic overshoot.</w:t>
      </w:r>
    </w:p>
    <w:p>
      <w:r>
        <w:br w:type="page"/>
      </w:r>
    </w:p>
    <w:p>
      <w:pPr>
        <w:pStyle w:val="Heading1"/>
      </w:pPr>
      <w:r>
        <w:t>17 — Voice</w:t>
      </w:r>
    </w:p>
    <w:p>
      <w:pPr>
        <w:pStyle w:val="Heading2"/>
      </w:pPr>
      <w:r>
        <w:t>Say what changed, for whom, and how we know.</w:t>
      </w:r>
    </w:p>
    <w:p>
      <w:pPr>
        <w:pStyle w:val="Heading4"/>
      </w:pPr>
      <w:r>
        <w:t>“Three operators agreed to paid pilots.”</w:t>
      </w:r>
    </w:p>
    <w:p>
      <w:r>
        <w:t>Names the behavior and commercial commitment.</w:t>
      </w:r>
    </w:p>
    <w:p>
      <w:pPr>
        <w:pStyle w:val="Heading4"/>
      </w:pPr>
      <w:r>
        <w:t>“Revolutionary AI unlocks exponential value.”</w:t>
      </w:r>
    </w:p>
    <w:p>
      <w:r>
        <w:t>Unsupported superlatives and no accountable outcome.</w:t>
      </w:r>
    </w:p>
    <w:p>
      <w:pPr>
        <w:pStyle w:val="Heading4"/>
      </w:pPr>
      <w:r>
        <w:t>“Killed after procurement interviews.”</w:t>
      </w:r>
    </w:p>
    <w:p>
      <w:r>
        <w:t>A direct decision with preserved reason.</w:t>
      </w:r>
    </w:p>
    <w:p>
      <w:pPr>
        <w:pStyle w:val="Heading4"/>
      </w:pPr>
      <w:r>
        <w:t>“Autonomous ideas become inevitable companies.”</w:t>
      </w:r>
    </w:p>
    <w:p>
      <w:r>
        <w:t>Anthropomorphic hype pretending to be the offer.</w:t>
      </w:r>
    </w:p>
    <w:p>
      <w:r>
        <w:t>Prefer active verbs, concrete nouns, sourced numbers, explicit uncertainty, and decisions that can be challenged.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Precise, commercial, skeptical, human</w:t>
      </w:r>
    </w:p>
    <w:p>
      <w:r>
        <w:br w:type="page"/>
      </w:r>
    </w:p>
    <w:p>
      <w:pPr>
        <w:pStyle w:val="Heading1"/>
      </w:pPr>
      <w:r>
        <w:t>18 — Messaging</w:t>
      </w:r>
    </w:p>
    <w:p>
      <w:pPr>
        <w:pStyle w:val="Heading2"/>
      </w:pPr>
      <w:r>
        <w:t>One studio. Four decisions.</w:t>
      </w:r>
    </w:p>
    <w:p>
      <w:pPr>
        <w:pStyle w:val="Heading3"/>
      </w:pPr>
      <w:r>
        <w:t>Take over something runnable.</w:t>
      </w:r>
    </w:p>
    <w:p>
      <w:r>
        <w:t>“A validated workflow, operating plan, and known implementation burden—ready for a named owner.”</w:t>
      </w:r>
    </w:p>
    <w:p>
      <w:pPr>
        <w:pStyle w:val="Heading3"/>
      </w:pPr>
      <w:r>
        <w:t>Buy with the liabilities visible.</w:t>
      </w:r>
    </w:p>
    <w:p>
      <w:r>
        <w:t>“Evidence, IP inventory, economics, dependencies, and diligence index travel together.”</w:t>
      </w:r>
    </w:p>
    <w:p>
      <w:pPr>
        <w:pStyle w:val="Heading3"/>
      </w:pPr>
      <w:r>
        <w:t>Work inside explicit gates.</w:t>
      </w:r>
    </w:p>
    <w:p>
      <w:r>
        <w:t>“Decision rights, thresholds, and preserved failed learning replace performative momentum.”</w:t>
      </w:r>
    </w:p>
    <w:p>
      <w:pPr>
        <w:pStyle w:val="Heading3"/>
      </w:pPr>
      <w:r>
        <w:t>Know the next test.</w:t>
      </w:r>
    </w:p>
    <w:p>
      <w:r>
        <w:t>“Every venture names its owner, threshold, evidence location, and review point.”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Audience-specific hierarchy</w:t>
      </w:r>
    </w:p>
    <w:p>
      <w:r>
        <w:br w:type="page"/>
      </w:r>
    </w:p>
    <w:p>
      <w:pPr>
        <w:pStyle w:val="Heading1"/>
      </w:pPr>
      <w:r>
        <w:t>19 — Flagship web</w:t>
      </w:r>
    </w:p>
    <w:p>
      <w:pPr>
        <w:pStyle w:val="Heading2"/>
      </w:pPr>
      <w:r>
        <w:t>The homepage sells the transfer—not the metaphor.</w:t>
      </w:r>
    </w:p>
    <w:p>
      <w:pPr>
        <w:pStyle w:val="Heading3"/>
      </w:pPr>
      <w:r>
        <w:t>Validated ventures, packaged for operators and buyers.</w:t>
      </w:r>
    </w:p>
    <w:p>
      <w:r>
        <w:t>Primary CTA: Review available ventures · Secondary: How the gates work</w:t>
      </w:r>
    </w:p>
    <w:p>
      <w:r>
        <w:t>Commercial headline precedes mark explanation. No animated terminal, fake ticker, or invented metric.</w:t>
      </w:r>
    </w:p>
    <w:p>
      <w:r>
        <w:t>Same hierarchy in four columns. Navigation and proof labels remain visible.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Outcome-first surface</w:t>
      </w:r>
    </w:p>
    <w:p>
      <w:pPr>
        <w:pStyle w:val="ListBullet"/>
      </w:pPr>
      <w:r>
        <w:t>Hero</w:t>
      </w:r>
    </w:p>
    <w:p>
      <w:pPr>
        <w:pStyle w:val="ListBullet"/>
      </w:pPr>
      <w:r>
        <w:t>Current ventures</w:t>
      </w:r>
    </w:p>
    <w:p>
      <w:pPr>
        <w:pStyle w:val="ListBullet"/>
      </w:pPr>
      <w:r>
        <w:t>Status + named proof</w:t>
      </w:r>
    </w:p>
    <w:p>
      <w:pPr>
        <w:pStyle w:val="ListBullet"/>
      </w:pPr>
      <w:r>
        <w:t>Five evidence gates</w:t>
      </w:r>
    </w:p>
    <w:p>
      <w:pPr>
        <w:pStyle w:val="ListBullet"/>
      </w:pPr>
      <w:r>
        <w:t>Transfer package</w:t>
      </w:r>
    </w:p>
    <w:p>
      <w:pPr>
        <w:pStyle w:val="ListBullet"/>
      </w:pPr>
      <w:r>
        <w:t>What the buyer receives</w:t>
      </w:r>
    </w:p>
    <w:p>
      <w:r>
        <w:br w:type="page"/>
      </w:r>
    </w:p>
    <w:p>
      <w:pPr>
        <w:pStyle w:val="Heading1"/>
      </w:pPr>
      <w:r>
        <w:t>20 — Venture package</w:t>
      </w:r>
    </w:p>
    <w:p>
      <w:pPr>
        <w:pStyle w:val="Heading2"/>
      </w:pPr>
      <w:r>
        <w:t>A transferable venture arrives with receipts—and known gaps.</w:t>
      </w:r>
    </w:p>
    <w:p>
      <w:r>
        <w:t>Workflow · buyer · measurable value · implementation burden · 90-day plan.</w:t>
      </w:r>
    </w:p>
    <w:p>
      <w:r>
        <w:t>STATUS: DRAFT EXAMPLE</w:t>
      </w:r>
    </w:p>
    <w:p>
      <w:r>
        <w:t>Price, delivery cost, margin, cash needs, assumptions.</w:t>
      </w:r>
    </w:p>
    <w:p>
      <w:r>
        <w:t>IP · data room · risks · dependencies · handoff.</w:t>
      </w:r>
    </w:p>
    <w:p>
      <w:pPr>
        <w:pStyle w:val="ListBullet"/>
      </w:pPr>
      <w:r>
        <w:t>GATE: Pilot demand</w:t>
      </w:r>
    </w:p>
    <w:p>
      <w:pPr>
        <w:pStyle w:val="ListBullet"/>
      </w:pPr>
      <w:r>
        <w:t>THRESHOLD: 3 paid design partners</w:t>
      </w:r>
    </w:p>
    <w:p>
      <w:pPr>
        <w:pStyle w:val="ListBullet"/>
      </w:pPr>
      <w:r>
        <w:t>RESULT: Not evaluated</w:t>
      </w:r>
    </w:p>
    <w:p>
      <w:pPr>
        <w:pStyle w:val="ListBullet"/>
      </w:pPr>
      <w:r>
        <w:t>OWNER: Unassigned</w:t>
      </w:r>
    </w:p>
    <w:p>
      <w:pPr>
        <w:pStyle w:val="ListBullet"/>
      </w:pPr>
      <w:r>
        <w:t>EVIDENCE: None attached</w:t>
      </w:r>
    </w:p>
    <w:p>
      <w:pPr>
        <w:pStyle w:val="ListBullet"/>
      </w:pPr>
      <w:r>
        <w:t>DECISION: Remain DRAFT</w:t>
      </w:r>
    </w:p>
    <w:p>
      <w:pPr>
        <w:pStyle w:val="Heading3"/>
      </w:pPr>
      <w:r>
        <w:t>Kill-test plate</w:t>
      </w:r>
    </w:p>
    <w:p>
      <w:r>
        <w:t>Named buyer pays to remove a specific burden.</w:t>
      </w:r>
    </w:p>
    <w:p>
      <w:r>
        <w:t>Kill or redesign if threshold misses review point.</w:t>
      </w:r>
    </w:p>
    <w:p>
      <w:r>
        <w:t>Notes, objections, economics, failed assumptions, reusable parts.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Transfer dossier</w:t>
      </w:r>
    </w:p>
    <w:p>
      <w:r>
        <w:br w:type="page"/>
      </w:r>
    </w:p>
    <w:p>
      <w:pPr>
        <w:pStyle w:val="Heading1"/>
      </w:pPr>
      <w:r>
        <w:t>21 — Capital surfaces</w:t>
      </w:r>
    </w:p>
    <w:p>
      <w:pPr>
        <w:pStyle w:val="Heading2"/>
      </w:pPr>
      <w:r>
        <w:t>Capital sees the factory and the asset separately.</w:t>
      </w:r>
    </w:p>
    <w:p>
      <w:pPr>
        <w:pStyle w:val="Heading3"/>
      </w:pPr>
      <w:r>
        <w:t>Portfolio learning compounds.</w:t>
      </w:r>
    </w:p>
    <w:p>
      <w:r>
        <w:t>Show gate economics, capital allocation, kill rate, transfer model, and preserved reusable capability—with sourced numbers only.</w:t>
      </w:r>
    </w:p>
    <w:p>
      <w:pPr>
        <w:pStyle w:val="Heading3"/>
      </w:pPr>
      <w:r>
        <w:t>The venture stands alone.</w:t>
      </w:r>
    </w:p>
    <w:p>
      <w:r>
        <w:t>Lead with buyer pain, evidence, economics, risks, and transaction shape. Keep studio endorsement small and removable.</w:t>
      </w:r>
    </w:p>
    <w:p>
      <w:r>
        <w:t>Audited pipeline data · named receipts · documented diligence · explicit assumptions.</w:t>
      </w:r>
    </w:p>
    <w:p>
      <w:r>
        <w:t>Portfolio-logo walls of DRAFT concepts, unsourced TAM, decorative traction charts, dual-primary endorsement.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Studio thesis + venture teaser</w:t>
      </w:r>
    </w:p>
    <w:p>
      <w:pPr>
        <w:pStyle w:val="ListBullet"/>
      </w:pPr>
      <w:r>
        <w:t>Studio-funder thesis</w:t>
      </w:r>
    </w:p>
    <w:p>
      <w:pPr>
        <w:pStyle w:val="ListBullet"/>
      </w:pPr>
      <w:r>
        <w:t>Venture teaser</w:t>
      </w:r>
    </w:p>
    <w:p>
      <w:pPr>
        <w:pStyle w:val="ListBullet"/>
      </w:pPr>
      <w:r>
        <w:t>Allowed proof</w:t>
      </w:r>
    </w:p>
    <w:p>
      <w:r>
        <w:br w:type="page"/>
      </w:r>
    </w:p>
    <w:p>
      <w:pPr>
        <w:pStyle w:val="Heading1"/>
      </w:pPr>
      <w:r>
        <w:t>22 — Business system</w:t>
      </w:r>
    </w:p>
    <w:p>
      <w:pPr>
        <w:pStyle w:val="Heading2"/>
      </w:pPr>
      <w:r>
        <w:t>Every artifact carries one claim and one owner.</w:t>
      </w:r>
    </w:p>
    <w:p>
      <w:pPr>
        <w:pStyle w:val="Heading4"/>
      </w:pPr>
      <w:r>
        <w:t>.md Studios</w:t>
      </w:r>
    </w:p>
    <w:p>
      <w:r>
        <w:t>Name · role · direct contact. No QR theater.</w:t>
      </w:r>
    </w:p>
    <w:p>
      <w:r>
        <w:t>Name Role · .md Studios Canonical domain</w:t>
      </w:r>
    </w:p>
    <w:p>
      <w:pPr>
        <w:pStyle w:val="Heading4"/>
      </w:pPr>
      <w:r>
        <w:t>VENTURE / DOSSIER</w:t>
      </w:r>
    </w:p>
    <w:p>
      <w:r>
        <w:t>STATUS DRAFT OWNER UNASSIGNED</w:t>
      </w:r>
    </w:p>
    <w:p>
      <w:pPr>
        <w:pStyle w:val="Heading4"/>
      </w:pPr>
      <w:r>
        <w:t>Problem → proof → operator</w:t>
      </w:r>
    </w:p>
    <w:p>
      <w:r>
        <w:t>No fake customer marks or vanity metrics.</w:t>
      </w:r>
    </w:p>
    <w:p>
      <w:pPr>
        <w:pStyle w:val="Heading4"/>
      </w:pPr>
      <w:r>
        <w:t>Claim / receipt / decision</w:t>
      </w:r>
    </w:p>
    <w:p>
      <w:r>
        <w:t>One accountable unit per slide.</w:t>
      </w:r>
    </w:p>
    <w:p>
      <w:pPr>
        <w:pStyle w:val="Heading4"/>
      </w:pPr>
      <w:r>
        <w:t>Version + owner</w:t>
      </w:r>
    </w:p>
    <w:p>
      <w:r>
        <w:t>Source path and approval state always visible.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Operational surfaces</w:t>
      </w:r>
    </w:p>
    <w:p>
      <w:pPr>
        <w:pStyle w:val="ListBullet"/>
      </w:pPr>
      <w:r>
        <w:t>Business card</w:t>
      </w:r>
    </w:p>
    <w:p>
      <w:pPr>
        <w:pStyle w:val="ListBullet"/>
      </w:pPr>
      <w:r>
        <w:t>Signature</w:t>
      </w:r>
    </w:p>
    <w:p>
      <w:pPr>
        <w:pStyle w:val="ListBullet"/>
      </w:pPr>
      <w:r>
        <w:t>Document cover</w:t>
      </w:r>
    </w:p>
    <w:p>
      <w:pPr>
        <w:pStyle w:val="ListBullet"/>
      </w:pPr>
      <w:r>
        <w:t>Launch card</w:t>
      </w:r>
    </w:p>
    <w:p>
      <w:pPr>
        <w:pStyle w:val="ListBullet"/>
      </w:pPr>
      <w:r>
        <w:t>Governance</w:t>
      </w:r>
    </w:p>
    <w:p>
      <w:r>
        <w:br w:type="page"/>
      </w:r>
    </w:p>
    <w:p>
      <w:pPr>
        <w:pStyle w:val="Heading1"/>
      </w:pPr>
      <w:r>
        <w:t>23 — Misuse</w:t>
      </w:r>
    </w:p>
    <w:p>
      <w:pPr>
        <w:pStyle w:val="Heading2"/>
      </w:pPr>
      <w:r>
        <w:t>Distinctive is not the same as decorated.</w:t>
      </w:r>
    </w:p>
    <w:p>
      <w:pPr>
        <w:pStyle w:val="Heading4"/>
      </w:pPr>
      <w:r>
        <w:t>Validated ventures, packaged for transfer.</w:t>
      </w:r>
    </w:p>
    <w:p>
      <w:pPr>
        <w:pStyle w:val="Heading4"/>
      </w:pPr>
      <w:r>
        <w:t>“The file is alive.”</w:t>
      </w:r>
    </w:p>
    <w:p>
      <w:r>
        <w:t>RESULT NOT EVALUATED EVIDENCE NONE ATTACHED</w:t>
      </w:r>
    </w:p>
    <w:p>
      <w:r>
        <w:t>MARKET SIGNAL 82% STATUS PASSED</w:t>
      </w:r>
    </w:p>
    <w:p>
      <w:r>
        <w:t>Merge/network marks, File→Company as logo, Markdown hex clones, Git forks.</w:t>
      </w:r>
    </w:p>
    <w:p>
      <w:r>
        <w:t>Inherited Oxide, dual-primary lockup, or endorsement on public DRAFT.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The system refuses</w:t>
      </w:r>
    </w:p>
    <w:p>
      <w:pPr>
        <w:pStyle w:val="ListBullet"/>
      </w:pPr>
      <w:r>
        <w:t>Do / Offer first</w:t>
      </w:r>
    </w:p>
    <w:p>
      <w:pPr>
        <w:pStyle w:val="ListBullet"/>
      </w:pPr>
      <w:r>
        <w:t>Don’t / Metaphor swallow</w:t>
      </w:r>
    </w:p>
    <w:p>
      <w:pPr>
        <w:pStyle w:val="ListBullet"/>
      </w:pPr>
      <w:r>
        <w:t>Do / Honest evidence</w:t>
      </w:r>
    </w:p>
    <w:p>
      <w:pPr>
        <w:pStyle w:val="ListBullet"/>
      </w:pPr>
      <w:r>
        <w:t>Don’t / Fake signal</w:t>
      </w:r>
    </w:p>
    <w:p>
      <w:pPr>
        <w:pStyle w:val="ListBullet"/>
      </w:pPr>
      <w:r>
        <w:t>Do / Canonical identity</w:t>
      </w:r>
    </w:p>
    <w:p>
      <w:pPr>
        <w:pStyle w:val="ListBullet"/>
      </w:pPr>
      <w:r>
        <w:t>Don’t / Historical revival</w:t>
      </w:r>
    </w:p>
    <w:p>
      <w:pPr>
        <w:pStyle w:val="ListBullet"/>
      </w:pPr>
      <w:r>
        <w:t>Do / Mono END</w:t>
      </w:r>
    </w:p>
    <w:p>
      <w:pPr>
        <w:pStyle w:val="ListBullet"/>
      </w:pPr>
      <w:r>
        <w:t>Don’t / Studio takeover</w:t>
      </w:r>
    </w:p>
    <w:p>
      <w:r>
        <w:br w:type="page"/>
      </w:r>
    </w:p>
    <w:p>
      <w:pPr>
        <w:pStyle w:val="Heading1"/>
      </w:pPr>
      <w:r>
        <w:t>24 — Governance + asset index</w:t>
      </w:r>
    </w:p>
    <w:p>
      <w:pPr>
        <w:pStyle w:val="Heading2"/>
      </w:pPr>
      <w:r>
        <w:t>The system ends in accountable files.</w:t>
      </w:r>
    </w:p>
    <w:p>
      <w:r>
        <w:t>Production: Herman Identity review: Brick Approval + merge: Human owner</w:t>
      </w:r>
    </w:p>
    <w:p>
      <w:r>
        <w:t>SOURCE editable master GENERATED deterministic derivative HISTORICAL quarantined record</w:t>
      </w:r>
    </w:p>
    <w:p>
      <w:r>
        <w:t>SYM · masters/svg/dotmd-sym-*</w:t>
      </w:r>
    </w:p>
    <w:p>
      <w:r>
        <w:t>WM · masters/svg/dotmd-wm-*</w:t>
      </w:r>
    </w:p>
    <w:p>
      <w:r>
        <w:t>LCK · masters/svg/dotmd-lck-*</w:t>
      </w:r>
    </w:p>
    <w:p>
      <w:r>
        <w:t>END · masters/svg/dotmd-end-*</w:t>
      </w:r>
    </w:p>
    <w:p>
      <w:r>
        <w:t>RSTR · masters/png/{sym|lck|end}/</w:t>
      </w:r>
    </w:p>
    <w:p>
      <w:r>
        <w:t>COB · masters/svg/dotmd-cob-dont-01…04</w:t>
      </w:r>
    </w:p>
    <w:p>
      <w:r>
        <w:t>VOICE · voice/VOICE.md</w:t>
      </w:r>
    </w:p>
    <w:p>
      <w:r>
        <w:t>ANTI-SLOP · voice/ANTI-SLOP.md</w:t>
      </w:r>
    </w:p>
    <w:p>
      <w:r>
        <w:t>PROVENANCE · imagery/provenance.schema.json</w:t>
      </w:r>
    </w:p>
    <w:p>
      <w:r>
        <w:t>TOKENS · docs/gate-a/TOKEN-TABLE.md</w:t>
      </w:r>
    </w:p>
    <w:p>
      <w:r>
        <w:t>MANIFEST · docs/gate-a/ASSET-MANIFEST.md</w:t>
      </w:r>
    </w:p>
    <w:p>
      <w:r>
        <w:t>BOOK · gate-c/source/book.html</w:t>
      </w:r>
    </w:p>
    <w:p>
      <w:r>
        <w:t>Review the source. Verify the receipt. Human merges.</w:t>
      </w:r>
    </w:p>
    <w:p>
      <w:pPr>
        <w:pStyle w:val="Heading3"/>
      </w:pPr>
      <w:r>
        <w:t>Interface and evidence labels</w:t>
      </w:r>
    </w:p>
    <w:p>
      <w:pPr>
        <w:pStyle w:val="ListBullet"/>
      </w:pPr>
      <w:r>
        <w:t>Ownership + custody</w:t>
      </w:r>
    </w:p>
    <w:p>
      <w:pPr>
        <w:pStyle w:val="ListBullet"/>
      </w:pPr>
      <w:r>
        <w:t>Classes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BM Plex Sans" w:hAnsi="IBM Plex San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.md Studios Brand Guidelines</dc:title>
  <dc:subject>Final editable brand guidelines</dc:subject>
  <dc:creator>.md Studios / Herman production</dc:creator>
  <cp:keywords/>
  <dc:description>generated by python-docx</dc:description>
  <cp:lastModifiedBy/>
  <cp:revision>1</cp:revision>
  <dcterms:created xsi:type="dcterms:W3CDTF">2026-07-30T23:16:45Z</dcterms:created>
  <dcterms:modified xsi:type="dcterms:W3CDTF">2026-07-30T23:16:45Z</dcterms:modified>
  <cp:category/>
</cp:coreProperties>
</file>